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Лечебное дело СПА - кейс 2</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СПА | Записей: 1 | Кейс: 2 | Вопросов: 12</w:t>
      </w:r>
    </w:p>
    <w:p>
      <w:r>
        <w:br w:type="page"/>
      </w:r>
    </w:p>
    <w:p>
      <w:pPr>
        <w:pStyle w:val="Heading1"/>
      </w:pPr>
      <w:r>
        <w:t>Лечебное дело СПА - кейс 2</w:t>
      </w:r>
    </w:p>
    <w:p>
      <w:r>
        <w:rPr>
          <w:b/>
        </w:rPr>
        <w:t xml:space="preserve">Образование: </w:t>
      </w:r>
      <w:r>
        <w:t>Среднее образование</w:t>
      </w:r>
      <w:r>
        <w:rPr>
          <w:b/>
        </w:rPr>
        <w:t xml:space="preserve"> | Специализация: </w:t>
      </w:r>
      <w:r>
        <w:t>Лечебное дело СПА</w:t>
      </w:r>
    </w:p>
    <w:p>
      <w:pPr>
        <w:pStyle w:val="Heading2"/>
      </w:pPr>
      <w:r>
        <w:t>1. УСЛОВИЕ СИТУАЦИОННОЙ ЗАДАЧИ</w:t>
      </w:r>
    </w:p>
    <w:p>
      <w:pPr>
        <w:pStyle w:val="Heading3"/>
      </w:pPr>
      <w:r>
        <w:t>1.1. Ситуация</w:t>
      </w:r>
    </w:p>
    <w:p>
      <w:pPr>
        <w:spacing w:after="58"/>
      </w:pPr>
      <w:r>
        <w:rPr>
          <w:b w:val="0"/>
          <w:i w:val="0"/>
        </w:rPr>
        <w:t>Вызов фельдшера ФАПа на дом к женщине 53 лет.</w:t>
      </w:r>
    </w:p>
    <w:p>
      <w:pPr>
        <w:pStyle w:val="Heading3"/>
      </w:pPr>
      <w:r>
        <w:t>1.2. Жалобы</w:t>
      </w:r>
    </w:p>
    <w:p>
      <w:pPr>
        <w:spacing w:after="58"/>
      </w:pPr>
      <w:r>
        <w:rPr>
          <w:b w:val="0"/>
          <w:i w:val="0"/>
        </w:rPr>
        <w:t>На головные боли, слабость в правой руке и ноге, нарушение речи – испытывает трудность в подборе слов.</w:t>
      </w:r>
    </w:p>
    <w:p>
      <w:pPr>
        <w:pStyle w:val="Heading3"/>
      </w:pPr>
      <w:r>
        <w:t>1.3. Анамнез заболевания</w:t>
      </w:r>
    </w:p>
    <w:p>
      <w:pPr>
        <w:spacing w:after="58"/>
      </w:pPr>
      <w:r>
        <w:rPr>
          <w:b w:val="0"/>
          <w:i w:val="0"/>
        </w:rPr>
        <w:t>Заболевание связывает со стрессовой ситуацией. После неприятного разговора резко повысилось АД до 190/110 мм рт. ст. Приняла капотен под язык и валокордин, через пару часов появились вышеописанные симптомы.</w:t>
      </w:r>
    </w:p>
    <w:p>
      <w:pPr>
        <w:pStyle w:val="Heading3"/>
      </w:pPr>
      <w:r>
        <w:t>1.4. Анамнез жизни</w:t>
      </w:r>
    </w:p>
    <w:p>
      <w:pPr>
        <w:spacing w:after="58"/>
      </w:pPr>
      <w:r>
        <w:rPr>
          <w:b w:val="0"/>
          <w:i w:val="0"/>
        </w:rPr>
        <w:t>Состоит на учете с Артериальной гипертонией в течение 15 лет, целевое АД = 130/85 мм рт. ст. Принимает энап 5 мг 2 раза в сутки и седативные травы. Наблюдается нерегулярно. Замужем, один взрослый сын. Не курит, алкоголь употребляет умеренно. Аллергию отрицает.</w:t>
      </w:r>
    </w:p>
    <w:p>
      <w:pPr>
        <w:pStyle w:val="Heading3"/>
      </w:pPr>
      <w:r>
        <w:t>1.5. Объективный статус</w:t>
      </w:r>
    </w:p>
    <w:p>
      <w:pPr>
        <w:spacing w:after="58"/>
      </w:pPr>
      <w:r>
        <w:rPr>
          <w:b w:val="0"/>
          <w:i w:val="0"/>
        </w:rPr>
        <w:t>Состояние относительно удовлетворительное. Телосложение правильное, повышенного питания. Рост 176 см, вес 97 кг, ИМТ=32,3. Кожа на лице гиперемирована, влажная. Дыхание везикулярное, ЧДД 18 в мин. Тоны сердца приглушены. Ритм правильный, ЧСС 70, пульс 70 ударов в мин., АД 115/70 мм рт. ст. Живот мягкий, безболезненный. Печень у края реберной дуги, безболезненная. +</w:t>
        <w:br/>
        <w:t>Неврологический статус: сознание ясное, в контакт вступает ограниченно ввиду речевых нарушений, эмоциональная лабильность не выражена, в пространстве и времени ориентирована. Инструкции выполняет верно. Зрачки D=S, движения глазных яблок в полном объёме, диплопии, нистагма нет. Гиперестезия правой половины лица, Сглаженность носогубной складки справа. Слух сохранен. Звучность голоса нормальная, мягкое нёбо подвижно достаточно, глотание не затруднено, глоточный рефлекс несколько снижен. Гиперсаливация, слюнотечение через правый угол рта. Объём активных движений при поворотах головы, при поднимании плеч нормальный. Внешний вид языка нормальный, лёгкая девиация языка вправо. Мышечная сила снижена в правой руке и ноге. В позе Ромберга шаткость, координаторные пробы справа с дефектом из-за пареза. Уверенная ходьба с опорой на трость, возможно перемещение на 5-6 метров без опоры. Тазовые функции сохранены. Менингиальных знаков нет.</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на амбулаторном этапе являются</w:t>
      </w:r>
    </w:p>
    <w:p>
      <w:pPr>
        <w:pStyle w:val="ListBullet"/>
      </w:pPr>
      <w:r>
        <w:rPr>
          <w:b/>
        </w:rPr>
        <w:t xml:space="preserve">1. </w:t>
      </w:r>
      <w:r>
        <w:rPr>
          <w:b w:val="0"/>
          <w:i w:val="0"/>
        </w:rPr>
        <w:t>определение общего белка</w:t>
      </w:r>
    </w:p>
    <w:p>
      <w:pPr>
        <w:pStyle w:val="ListBullet"/>
      </w:pPr>
      <w:r>
        <w:rPr>
          <w:b/>
        </w:rPr>
        <w:t xml:space="preserve">2. </w:t>
      </w:r>
      <w:r>
        <w:rPr>
          <w:b w:val="0"/>
          <w:i w:val="0"/>
        </w:rPr>
        <w:t>определение билирубина</w:t>
      </w:r>
    </w:p>
    <w:p>
      <w:pPr>
        <w:pStyle w:val="ListBullet"/>
      </w:pPr>
      <w:r>
        <w:rPr>
          <w:b/>
        </w:rPr>
        <w:t xml:space="preserve">3. </w:t>
      </w:r>
      <w:r>
        <w:rPr>
          <w:b/>
          <w:i w:val="0"/>
          <w:color w:val="0F766E"/>
          <w:highlight w:val="yellow"/>
        </w:rPr>
        <w:t>общий анализ мочи</w:t>
      </w:r>
    </w:p>
    <w:p>
      <w:pPr>
        <w:pStyle w:val="ListBullet"/>
      </w:pPr>
      <w:r>
        <w:rPr>
          <w:b/>
        </w:rPr>
        <w:t xml:space="preserve">4. </w:t>
      </w:r>
      <w:r>
        <w:rPr>
          <w:b/>
          <w:i w:val="0"/>
          <w:color w:val="0F766E"/>
          <w:highlight w:val="yellow"/>
        </w:rPr>
        <w:t>определение глюкозы крови</w:t>
      </w:r>
    </w:p>
    <w:p>
      <w:pPr>
        <w:ind w:left="288"/>
      </w:pPr>
      <w:r>
        <w:rPr>
          <w:b/>
          <w:color w:val="0F766E"/>
          <w:highlight w:val="yellow"/>
        </w:rPr>
        <w:t xml:space="preserve">Правильные ответы: </w:t>
      </w:r>
      <w:r>
        <w:rPr>
          <w:b/>
          <w:i w:val="0"/>
        </w:rPr>
        <w:t>общий анализ мочи; определение глюкозы крови</w:t>
      </w:r>
    </w:p>
    <w:p>
      <w:pPr>
        <w:ind w:left="504"/>
      </w:pPr>
      <w:r>
        <w:rPr>
          <w:b w:val="0"/>
          <w:i/>
        </w:rPr>
        <w:t>Рекомендовано всем пациентам с предположительным диагнозом «ТИА и ишемический инсульт» обязательные лабораторные тесты (таб. 1). Результаты должны быть предоставлены в течение 3 часов с момента поступления +</w:t>
        <w:br/>
        <w:t>Таблица 1. Обязательные лабораторные тесты у пациентов с предположительным диагнозом «ТИА и ишемический инсульт» +</w:t>
        <w:br/>
        <w:t>Общий развернутый клинический анализ крови с определением СОЭ +</w:t>
        <w:br/>
        <w:t>Биохимический анализ крови с определением С-реактивного белка и гомоцистеина +</w:t>
        <w:br/>
        <w:t>Коагулограмма +</w:t>
        <w:br/>
        <w:t>Определение кислотно-щелочного состояния, электролитов крови +</w:t>
        <w:br/>
        <w:t>Определение оксигенации с использованием, если возможно, пульсоксиметров +</w:t>
        <w:br/>
        <w:t>Общий анализ мочи</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0">
        <w:r>
          <w:rPr>
            <w:color w:val="0F766E"/>
            <w:u w:val="single"/>
          </w:rPr>
          <w:t>(1)</w:t>
        </w:r>
      </w:hyperlink>
    </w:p>
    <w:p>
      <w:pPr>
        <w:ind w:left="504"/>
      </w:pPr>
      <w:r>
        <w:rPr>
          <w:b w:val="0"/>
          <w:i/>
        </w:rPr>
        <w:t>Выраженное повышение или снижение глюкозы крови влияет на течение инсульта.</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0">
        <w:r>
          <w:rPr>
            <w:color w:val="0F766E"/>
            <w:u w:val="single"/>
          </w:rPr>
          <w:t>(1)</w:t>
        </w:r>
      </w:hyperlink>
    </w:p>
    <w:p>
      <w:r>
        <w:rPr>
          <w:b/>
          <w:color w:val="0F766E"/>
        </w:rPr>
        <w:t>2.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магнитно-резонансную ангиографию  (МР-ангиографию) с контрастированием</w:t>
      </w:r>
    </w:p>
    <w:p>
      <w:pPr>
        <w:pStyle w:val="ListBullet"/>
      </w:pPr>
      <w:r>
        <w:rPr>
          <w:b/>
        </w:rPr>
        <w:t xml:space="preserve">2. </w:t>
      </w:r>
      <w:r>
        <w:rPr>
          <w:b w:val="0"/>
          <w:i w:val="0"/>
        </w:rPr>
        <w:t>электроэнцефалографию (ЭЭГ)</w:t>
      </w:r>
    </w:p>
    <w:p>
      <w:pPr>
        <w:pStyle w:val="ListBullet"/>
      </w:pPr>
      <w:r>
        <w:rPr>
          <w:b/>
        </w:rPr>
        <w:t xml:space="preserve">3. </w:t>
      </w:r>
      <w:r>
        <w:rPr>
          <w:b/>
          <w:i w:val="0"/>
          <w:color w:val="0F766E"/>
          <w:highlight w:val="yellow"/>
        </w:rPr>
        <w:t>компьютерную томографию (КТ) мозга без контраста</w:t>
      </w:r>
    </w:p>
    <w:p>
      <w:pPr>
        <w:pStyle w:val="ListBullet"/>
      </w:pPr>
      <w:r>
        <w:rPr>
          <w:b/>
        </w:rPr>
        <w:t xml:space="preserve">4. </w:t>
      </w:r>
      <w:r>
        <w:rPr>
          <w:b w:val="0"/>
          <w:i w:val="0"/>
        </w:rPr>
        <w:t>компьютерную стабилометрию</w:t>
      </w:r>
    </w:p>
    <w:p>
      <w:pPr>
        <w:pStyle w:val="ListBullet"/>
      </w:pPr>
      <w:r>
        <w:rPr>
          <w:b/>
        </w:rPr>
        <w:t xml:space="preserve">5. </w:t>
      </w:r>
      <w:r>
        <w:rPr>
          <w:b w:val="0"/>
          <w:i w:val="0"/>
        </w:rPr>
        <w:t>термографию сосудов шеи</w:t>
      </w:r>
    </w:p>
    <w:p>
      <w:pPr>
        <w:ind w:left="288"/>
      </w:pPr>
      <w:r>
        <w:rPr>
          <w:b/>
          <w:color w:val="0F766E"/>
          <w:highlight w:val="yellow"/>
        </w:rPr>
        <w:t xml:space="preserve">Правильный ответ: </w:t>
      </w:r>
      <w:r>
        <w:rPr>
          <w:b/>
          <w:i w:val="0"/>
        </w:rPr>
        <w:t>компьютерную томографию (КТ) мозга без контраста</w:t>
      </w:r>
    </w:p>
    <w:p>
      <w:pPr>
        <w:ind w:left="504"/>
      </w:pPr>
      <w:r>
        <w:rPr>
          <w:b w:val="0"/>
          <w:i/>
        </w:rPr>
        <w:t>Рекомендуется всем пациентам с признаками ОНМК в экстренном порядке проведение бесконтрастной КТ или МРТ и получение результатов исследования (заключения) в течение 40 минут от момента поступления пациента в стационар для дифференциальной диагностики формы ОНМК с целью определения тактики лечения</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1">
        <w:r>
          <w:rPr>
            <w:color w:val="0F766E"/>
            <w:u w:val="single"/>
          </w:rPr>
          <w:t>(1)</w:t>
        </w:r>
      </w:hyperlink>
    </w:p>
    <w:p>
      <w:pPr>
        <w:pStyle w:val="Heading2"/>
      </w:pPr>
      <w:r>
        <w:t>4. Результаты инструментальных методов обследования</w:t>
      </w:r>
    </w:p>
    <w:p>
      <w:pPr>
        <w:pStyle w:val="Heading3"/>
      </w:pPr>
      <w:r>
        <w:t>4.1. КТ мозга без контраста</w:t>
      </w:r>
    </w:p>
    <w:p>
      <w:r>
        <w:drawing>
          <wp:inline xmlns:a="http://schemas.openxmlformats.org/drawingml/2006/main" xmlns:pic="http://schemas.openxmlformats.org/drawingml/2006/picture">
            <wp:extent cx="5303520" cy="5303520"/>
            <wp:docPr id="1" name="Picture 1"/>
            <wp:cNvGraphicFramePr>
              <a:graphicFrameLocks noChangeAspect="1"/>
            </wp:cNvGraphicFramePr>
            <a:graphic>
              <a:graphicData uri="http://schemas.openxmlformats.org/drawingml/2006/picture">
                <pic:pic>
                  <pic:nvPicPr>
                    <pic:cNvPr id="0" name="8c02ff402b435b1f635865a1a0e12279a31a0f6c.jpg"/>
                    <pic:cNvPicPr/>
                  </pic:nvPicPr>
                  <pic:blipFill>
                    <a:blip r:embed="rId12"/>
                    <a:stretch>
                      <a:fillRect/>
                    </a:stretch>
                  </pic:blipFill>
                  <pic:spPr>
                    <a:xfrm>
                      <a:off x="0" y="0"/>
                      <a:ext cx="5303520" cy="5303520"/>
                    </a:xfrm>
                    <a:prstGeom prst="rect"/>
                  </pic:spPr>
                </pic:pic>
              </a:graphicData>
            </a:graphic>
          </wp:inline>
        </w:drawing>
      </w:r>
    </w:p>
    <w:p>
      <w:pPr>
        <w:jc w:val="center"/>
      </w:pPr>
      <w:r>
        <w:rPr>
          <w:i/>
        </w:rPr>
        <w:t>КТ мозга без контраста</w:t>
      </w:r>
    </w:p>
    <w:p>
      <w:pPr>
        <w:spacing w:after="58"/>
      </w:pPr>
      <w:r>
        <w:rPr>
          <w:b w:val="0"/>
          <w:i w:val="0"/>
        </w:rPr>
        <w:t>Ишемический инсульт, поражение указано</w:t>
      </w:r>
    </w:p>
    <w:p>
      <w:pPr>
        <w:pStyle w:val="Heading2"/>
      </w:pPr>
      <w:r>
        <w:t>2. Диагноз</w:t>
      </w:r>
    </w:p>
    <w:p>
      <w:r>
        <w:rPr>
          <w:b/>
          <w:color w:val="0F766E"/>
        </w:rPr>
        <w:t>3. Вопрос</w:t>
      </w:r>
    </w:p>
    <w:p>
      <w:r>
        <w:rPr>
          <w:b w:val="0"/>
          <w:i w:val="0"/>
        </w:rPr>
        <w:t>На основании анализа жалоб, анамнеза и данных объективного обследования пациентки можно поставить предварительный диагноз</w:t>
      </w:r>
    </w:p>
    <w:p>
      <w:pPr>
        <w:pStyle w:val="ListBullet"/>
      </w:pPr>
      <w:r>
        <w:rPr>
          <w:b/>
        </w:rPr>
        <w:t xml:space="preserve">1. </w:t>
      </w:r>
      <w:r>
        <w:rPr>
          <w:b w:val="0"/>
          <w:i w:val="0"/>
        </w:rPr>
        <w:t>Психогенное расстройство с правосторонним гемипарезом. Гипертоническая болезнь III ст., риск 4. Ожирение 1 ст</w:t>
      </w:r>
    </w:p>
    <w:p>
      <w:pPr>
        <w:pStyle w:val="ListBullet"/>
      </w:pPr>
      <w:r>
        <w:rPr>
          <w:b/>
        </w:rPr>
        <w:t xml:space="preserve">2. </w:t>
      </w:r>
      <w:r>
        <w:rPr>
          <w:b w:val="0"/>
          <w:i w:val="0"/>
        </w:rPr>
        <w:t>Доброкачественная опухоль головного мозга, с правосторонним гемипарезом и моторной афазией. Гипертоническая болезнь III ст., риск 4. Ожирение 1 ст</w:t>
      </w:r>
    </w:p>
    <w:p>
      <w:pPr>
        <w:pStyle w:val="ListBullet"/>
      </w:pPr>
      <w:r>
        <w:rPr>
          <w:b/>
        </w:rPr>
        <w:t xml:space="preserve">3. </w:t>
      </w:r>
      <w:r>
        <w:rPr>
          <w:b w:val="0"/>
          <w:i w:val="0"/>
        </w:rPr>
        <w:t>Метастазы в головной мозг, с правосторонним гемипарезом. Гипертоническая болезнь III ст., риск 4. Ожирение 1 ст</w:t>
      </w:r>
    </w:p>
    <w:p>
      <w:pPr>
        <w:pStyle w:val="ListBullet"/>
      </w:pPr>
      <w:r>
        <w:rPr>
          <w:b/>
        </w:rPr>
        <w:t xml:space="preserve">4. </w:t>
      </w:r>
      <w:r>
        <w:rPr>
          <w:b/>
          <w:i w:val="0"/>
          <w:color w:val="0F766E"/>
          <w:highlight w:val="yellow"/>
        </w:rPr>
        <w:t>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pPr>
        <w:ind w:left="288"/>
      </w:pPr>
      <w:r>
        <w:rPr>
          <w:b/>
          <w:color w:val="0F766E"/>
          <w:highlight w:val="yellow"/>
        </w:rPr>
        <w:t xml:space="preserve">Правильный ответ: </w:t>
      </w:r>
      <w:r>
        <w:rPr>
          <w:b/>
          <w:i w:val="0"/>
        </w:rPr>
        <w:t>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pPr>
        <w:ind w:left="504"/>
      </w:pPr>
      <w:r>
        <w:rPr>
          <w:b w:val="0"/>
          <w:i/>
        </w:rPr>
        <w:t>Рекомендуется получить данные о наличии или отсутствии нарушений двигательной, чувствительной сферы, нарушении когнитивных функций, включая речь, неврологических симптомов, связанных с нарушением функции того или иного черепно- мозгового нерва, таких как слабость мышц, нарушения чувствительности.</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3">
        <w:r>
          <w:rPr>
            <w:color w:val="0F766E"/>
            <w:u w:val="single"/>
          </w:rPr>
          <w:t>(1)</w:t>
        </w:r>
      </w:hyperlink>
      <w:r>
        <w:rPr>
          <w:b w:val="0"/>
          <w:i/>
        </w:rPr>
        <w:br/>
        <w:br/>
        <w:t>Рекомендуется всем пациентам с предположительным диагнозом «ТИА и ишемический инсульт» обязательно проводить исходную оценку дыхания и функции легких, определение ранних признаков дисфагии (предпочтительно с использованием теста оценки глотания), физикальное обследование сердечно-сосудистой системы.</w:t>
        <w:br/>
        <w:br/>
      </w:r>
      <w:hyperlink r:id="rId14">
        <w:r>
          <w:rPr>
            <w:color w:val="0F766E"/>
            <w:u w:val="single"/>
          </w:rPr>
          <w:t>(2)</w:t>
        </w:r>
      </w:hyperlink>
    </w:p>
    <w:p>
      <w:pPr>
        <w:pStyle w:val="Heading2"/>
      </w:pPr>
      <w:r>
        <w:t>6. Диагноз</w:t>
      </w:r>
    </w:p>
    <w:p>
      <w:pPr>
        <w:pStyle w:val="Heading3"/>
      </w:pPr>
      <w:r>
        <w:t>6.1. 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r>
        <w:rPr>
          <w:b/>
          <w:color w:val="0F766E"/>
        </w:rPr>
        <w:t>4. Вопрос</w:t>
      </w:r>
    </w:p>
    <w:p>
      <w:r>
        <w:rPr>
          <w:b w:val="0"/>
          <w:i w:val="0"/>
        </w:rPr>
        <w:t>Заболеванием, имитирующим ишемический инсульт, является</w:t>
      </w:r>
    </w:p>
    <w:p>
      <w:pPr>
        <w:pStyle w:val="ListBullet"/>
      </w:pPr>
      <w:r>
        <w:rPr>
          <w:b/>
        </w:rPr>
        <w:t xml:space="preserve">1. </w:t>
      </w:r>
      <w:r>
        <w:rPr>
          <w:b w:val="0"/>
          <w:i w:val="0"/>
        </w:rPr>
        <w:t>синдром Рейно</w:t>
      </w:r>
    </w:p>
    <w:p>
      <w:pPr>
        <w:pStyle w:val="ListBullet"/>
      </w:pPr>
      <w:r>
        <w:rPr>
          <w:b/>
        </w:rPr>
        <w:t xml:space="preserve">2. </w:t>
      </w:r>
      <w:r>
        <w:rPr>
          <w:b w:val="0"/>
          <w:i w:val="0"/>
        </w:rPr>
        <w:t>гипертонический криз</w:t>
      </w:r>
    </w:p>
    <w:p>
      <w:pPr>
        <w:pStyle w:val="ListBullet"/>
      </w:pPr>
      <w:r>
        <w:rPr>
          <w:b/>
        </w:rPr>
        <w:t xml:space="preserve">3. </w:t>
      </w:r>
      <w:r>
        <w:rPr>
          <w:b/>
          <w:i w:val="0"/>
          <w:color w:val="0F766E"/>
          <w:highlight w:val="yellow"/>
        </w:rPr>
        <w:t>энцефалопатия Вернике</w:t>
      </w:r>
    </w:p>
    <w:p>
      <w:pPr>
        <w:pStyle w:val="ListBullet"/>
      </w:pPr>
      <w:r>
        <w:rPr>
          <w:b/>
        </w:rPr>
        <w:t xml:space="preserve">4. </w:t>
      </w:r>
      <w:r>
        <w:rPr>
          <w:b w:val="0"/>
          <w:i w:val="0"/>
        </w:rPr>
        <w:t>острый инфаркт миокарда</w:t>
      </w:r>
    </w:p>
    <w:p>
      <w:pPr>
        <w:ind w:left="288"/>
      </w:pPr>
      <w:r>
        <w:rPr>
          <w:b/>
          <w:color w:val="0F766E"/>
          <w:highlight w:val="yellow"/>
        </w:rPr>
        <w:t xml:space="preserve">Правильный ответ: </w:t>
      </w:r>
      <w:r>
        <w:rPr>
          <w:b/>
          <w:i w:val="0"/>
        </w:rPr>
        <w:t>энцефалопатия Вернике</w:t>
      </w:r>
    </w:p>
    <w:p>
      <w:pPr>
        <w:ind w:left="504"/>
      </w:pPr>
      <w:r>
        <w:rPr>
          <w:b w:val="0"/>
          <w:i/>
        </w:rPr>
        <w:t>Состояния, имитирующие ишемический инсульт или «маски» инсульта, наблюдаются в 3% случаев, наиболее частыми из них являются эпилепсия и конверсивные расстройства. Основные состояния/заболевания, имитирующие ИИ, представлены в таблице 2.</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5">
        <w:r>
          <w:rPr>
            <w:color w:val="0F766E"/>
            <w:u w:val="single"/>
          </w:rPr>
          <w:t>(1)</w:t>
        </w:r>
      </w:hyperlink>
    </w:p>
    <w:p>
      <w:pPr>
        <w:pStyle w:val="Heading2"/>
      </w:pPr>
      <w:r>
        <w:t>3. Лечение</w:t>
      </w:r>
    </w:p>
    <w:p>
      <w:r>
        <w:rPr>
          <w:b/>
          <w:color w:val="0F766E"/>
        </w:rPr>
        <w:t>5. Вопрос</w:t>
      </w:r>
    </w:p>
    <w:p>
      <w:r>
        <w:rPr>
          <w:b w:val="0"/>
          <w:i w:val="0"/>
        </w:rPr>
        <w:t>Базисная терапия инсульта прежде всего направлена на</w:t>
      </w:r>
    </w:p>
    <w:p>
      <w:pPr>
        <w:pStyle w:val="ListBullet"/>
      </w:pPr>
      <w:r>
        <w:rPr>
          <w:b/>
        </w:rPr>
        <w:t xml:space="preserve">1. </w:t>
      </w:r>
      <w:r>
        <w:rPr>
          <w:b w:val="0"/>
          <w:i w:val="0"/>
        </w:rPr>
        <w:t>восстановление двигательной функции</w:t>
      </w:r>
    </w:p>
    <w:p>
      <w:pPr>
        <w:pStyle w:val="ListBullet"/>
      </w:pPr>
      <w:r>
        <w:rPr>
          <w:b/>
        </w:rPr>
        <w:t xml:space="preserve">2. </w:t>
      </w:r>
      <w:r>
        <w:rPr>
          <w:b w:val="0"/>
          <w:i w:val="0"/>
        </w:rPr>
        <w:t>восстановление неврологического статуса</w:t>
      </w:r>
    </w:p>
    <w:p>
      <w:pPr>
        <w:pStyle w:val="ListBullet"/>
      </w:pPr>
      <w:r>
        <w:rPr>
          <w:b/>
        </w:rPr>
        <w:t xml:space="preserve">3. </w:t>
      </w:r>
      <w:r>
        <w:rPr>
          <w:b w:val="0"/>
          <w:i w:val="0"/>
        </w:rPr>
        <w:t>улучшение качества жизни пациента</w:t>
      </w:r>
    </w:p>
    <w:p>
      <w:pPr>
        <w:pStyle w:val="ListBullet"/>
      </w:pPr>
      <w:r>
        <w:rPr>
          <w:b/>
        </w:rPr>
        <w:t xml:space="preserve">4. </w:t>
      </w:r>
      <w:r>
        <w:rPr>
          <w:b/>
          <w:i w:val="0"/>
          <w:color w:val="0F766E"/>
          <w:highlight w:val="yellow"/>
        </w:rPr>
        <w:t>поддержание функций дыхания и кровообращения</w:t>
      </w:r>
    </w:p>
    <w:p>
      <w:pPr>
        <w:ind w:left="288"/>
      </w:pPr>
      <w:r>
        <w:rPr>
          <w:b/>
          <w:color w:val="0F766E"/>
          <w:highlight w:val="yellow"/>
        </w:rPr>
        <w:t xml:space="preserve">Правильный ответ: </w:t>
      </w:r>
      <w:r>
        <w:rPr>
          <w:b/>
          <w:i w:val="0"/>
        </w:rPr>
        <w:t>поддержание функций дыхания и кровообращения</w:t>
      </w:r>
    </w:p>
    <w:p>
      <w:pPr>
        <w:ind w:left="504"/>
      </w:pPr>
      <w:r>
        <w:rPr>
          <w:b w:val="0"/>
          <w:i/>
        </w:rPr>
        <w:t>Под базисной терапией подразумеваются основные терапевтические стратегии, направленные на стабилизацию состояния тяжело больных пациентов и коррекцию тех нарушений, которые могут осложнить восстановление неврологических функций. Базисная терапия включает поддержание функций дыхания и кровообращения, коррекцию метаболических и волемических нарушений, контроль уровня артериального давления, профилактику и лечение таких состояний, как судороги, венозные тромбозы, дисфагия, аспирационные пневмонии и другие инфекционные осложнения, коррекцию повышенного внутричерепного давления.</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6">
        <w:r>
          <w:rPr>
            <w:color w:val="0F766E"/>
            <w:u w:val="single"/>
          </w:rPr>
          <w:t>(1)</w:t>
        </w:r>
      </w:hyperlink>
    </w:p>
    <w:p>
      <w:r>
        <w:rPr>
          <w:b/>
          <w:color w:val="0F766E"/>
        </w:rPr>
        <w:t>6. Вопрос</w:t>
      </w:r>
    </w:p>
    <w:p>
      <w:r>
        <w:rPr>
          <w:b w:val="0"/>
          <w:i w:val="0"/>
        </w:rPr>
        <w:t>С целью улучшения противоишемической защиты мозга, улучшения восстановления нарушенных неврологических функций и снижения риска 30-дневной летальности в первые 5 суток всем пациентам рекомендуют прием</w:t>
      </w:r>
    </w:p>
    <w:p>
      <w:pPr>
        <w:pStyle w:val="ListBullet"/>
      </w:pPr>
      <w:r>
        <w:rPr>
          <w:b/>
        </w:rPr>
        <w:t xml:space="preserve">1. </w:t>
      </w:r>
      <w:r>
        <w:rPr>
          <w:b/>
          <w:i w:val="0"/>
          <w:color w:val="0F766E"/>
          <w:highlight w:val="yellow"/>
        </w:rPr>
        <w:t>глицина 1 – 2 г/сут, внутрь</w:t>
      </w:r>
    </w:p>
    <w:p>
      <w:pPr>
        <w:pStyle w:val="ListBullet"/>
      </w:pPr>
      <w:r>
        <w:rPr>
          <w:b/>
        </w:rPr>
        <w:t xml:space="preserve">2. </w:t>
      </w:r>
      <w:r>
        <w:rPr>
          <w:b w:val="0"/>
          <w:i w:val="0"/>
        </w:rPr>
        <w:t>алтеплазы  по 10 мг 1 раза в день, внутривенно</w:t>
      </w:r>
    </w:p>
    <w:p>
      <w:pPr>
        <w:pStyle w:val="ListBullet"/>
      </w:pPr>
      <w:r>
        <w:rPr>
          <w:b/>
        </w:rPr>
        <w:t xml:space="preserve">3. </w:t>
      </w:r>
      <w:r>
        <w:rPr>
          <w:b w:val="0"/>
          <w:i w:val="0"/>
        </w:rPr>
        <w:t>винпоцетина по 30 мг 1 раз в день, внутривенно</w:t>
      </w:r>
    </w:p>
    <w:p>
      <w:pPr>
        <w:pStyle w:val="ListBullet"/>
      </w:pPr>
      <w:r>
        <w:rPr>
          <w:b/>
        </w:rPr>
        <w:t xml:space="preserve">4. </w:t>
      </w:r>
      <w:r>
        <w:rPr>
          <w:b w:val="0"/>
          <w:i w:val="0"/>
        </w:rPr>
        <w:t>пирацетама по 800 мг 3 раза в день, внутрь</w:t>
      </w:r>
    </w:p>
    <w:p>
      <w:pPr>
        <w:ind w:left="288"/>
      </w:pPr>
      <w:r>
        <w:rPr>
          <w:b/>
          <w:color w:val="0F766E"/>
          <w:highlight w:val="yellow"/>
        </w:rPr>
        <w:t xml:space="preserve">Правильный ответ: </w:t>
      </w:r>
      <w:r>
        <w:rPr>
          <w:b/>
          <w:i w:val="0"/>
        </w:rPr>
        <w:t>глицина 1 – 2 г/сут, внутрь</w:t>
      </w:r>
    </w:p>
    <w:p>
      <w:pPr>
        <w:ind w:left="504"/>
      </w:pPr>
      <w:r>
        <w:rPr>
          <w:b w:val="0"/>
          <w:i/>
        </w:rPr>
        <w:t>Рекомендуется назначение глицина в дозе 1 – 2 г/сут в течение первых 5 суток от момента эпизода ишемического инсульта (начиная с шестого часа после развития первых симптомов ИИ) пациентам, находящимся в общем удовлетворительном состоянии, состоянии средней тяжести или тяжелом состоянии при различной локализацией сосудистого поражения головного мозга. Препарат назначается с целью улучшения противоишемической защиты мозга, улучшения восстановления нарушенных неврологических функций и снижения риска 30-дневной летальности</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7">
        <w:r>
          <w:rPr>
            <w:color w:val="0F766E"/>
            <w:u w:val="single"/>
          </w:rPr>
          <w:t>(1)</w:t>
        </w:r>
      </w:hyperlink>
    </w:p>
    <w:p>
      <w:r>
        <w:rPr>
          <w:b/>
          <w:color w:val="0F766E"/>
        </w:rPr>
        <w:t>7. Вопрос</w:t>
      </w:r>
    </w:p>
    <w:p>
      <w:r>
        <w:rPr>
          <w:b w:val="0"/>
          <w:i w:val="0"/>
        </w:rPr>
        <w:t>Пациентам перенесшим ишемический инсульт с признаками аффективных расстройств для диагностики постинсультной депрессии рекомендуется</w:t>
      </w:r>
    </w:p>
    <w:p>
      <w:pPr>
        <w:pStyle w:val="ListBullet"/>
      </w:pPr>
      <w:r>
        <w:rPr>
          <w:b/>
        </w:rPr>
        <w:t xml:space="preserve">1. </w:t>
      </w:r>
      <w:r>
        <w:rPr>
          <w:b w:val="0"/>
          <w:i w:val="0"/>
        </w:rPr>
        <w:t>санаторное лечение</w:t>
      </w:r>
    </w:p>
    <w:p>
      <w:pPr>
        <w:pStyle w:val="ListBullet"/>
      </w:pPr>
      <w:r>
        <w:rPr>
          <w:b/>
        </w:rPr>
        <w:t xml:space="preserve">2. </w:t>
      </w:r>
      <w:r>
        <w:rPr>
          <w:b/>
          <w:i w:val="0"/>
          <w:color w:val="0F766E"/>
          <w:highlight w:val="yellow"/>
        </w:rPr>
        <w:t>консультация врача-психиатра</w:t>
      </w:r>
    </w:p>
    <w:p>
      <w:pPr>
        <w:pStyle w:val="ListBullet"/>
      </w:pPr>
      <w:r>
        <w:rPr>
          <w:b/>
        </w:rPr>
        <w:t xml:space="preserve">3. </w:t>
      </w:r>
      <w:r>
        <w:rPr>
          <w:b w:val="0"/>
          <w:i w:val="0"/>
        </w:rPr>
        <w:t>применение иглорефлексотерапии</w:t>
      </w:r>
    </w:p>
    <w:p>
      <w:pPr>
        <w:pStyle w:val="ListBullet"/>
      </w:pPr>
      <w:r>
        <w:rPr>
          <w:b/>
        </w:rPr>
        <w:t xml:space="preserve">4. </w:t>
      </w:r>
      <w:r>
        <w:rPr>
          <w:b w:val="0"/>
          <w:i w:val="0"/>
        </w:rPr>
        <w:t>физиотерапия</w:t>
      </w:r>
    </w:p>
    <w:p>
      <w:pPr>
        <w:ind w:left="288"/>
      </w:pPr>
      <w:r>
        <w:rPr>
          <w:b/>
          <w:color w:val="0F766E"/>
          <w:highlight w:val="yellow"/>
        </w:rPr>
        <w:t xml:space="preserve">Правильный ответ: </w:t>
      </w:r>
      <w:r>
        <w:rPr>
          <w:b/>
          <w:i w:val="0"/>
        </w:rPr>
        <w:t>консультация врача-психиатра</w:t>
      </w:r>
    </w:p>
    <w:p>
      <w:pPr>
        <w:ind w:left="504"/>
      </w:pPr>
      <w:r>
        <w:rPr>
          <w:b w:val="0"/>
          <w:i/>
        </w:rPr>
        <w:t>Рекомендуется консультация врача-психиатра пациентам, перенесшим ИИ с признаками аффективных расстройств для диагностики постинсультной депрессии</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8">
        <w:r>
          <w:rPr>
            <w:color w:val="0F766E"/>
            <w:u w:val="single"/>
          </w:rPr>
          <w:t>(1)</w:t>
        </w:r>
      </w:hyperlink>
    </w:p>
    <w:p>
      <w:r>
        <w:rPr>
          <w:b/>
          <w:color w:val="0F766E"/>
        </w:rPr>
        <w:t>8. Вопрос</w:t>
      </w:r>
    </w:p>
    <w:p>
      <w:r>
        <w:rPr>
          <w:b w:val="0"/>
          <w:i w:val="0"/>
        </w:rPr>
        <w:t>Общепризнанным стандартом реабилитации пациентов с постинсультными двигательными расстройствами является</w:t>
      </w:r>
    </w:p>
    <w:p>
      <w:pPr>
        <w:pStyle w:val="ListBullet"/>
      </w:pPr>
      <w:r>
        <w:rPr>
          <w:b/>
        </w:rPr>
        <w:t xml:space="preserve">1. </w:t>
      </w:r>
      <w:r>
        <w:rPr>
          <w:b/>
          <w:i w:val="0"/>
          <w:color w:val="0F766E"/>
          <w:highlight w:val="yellow"/>
        </w:rPr>
        <w:t>ЛФК</w:t>
      </w:r>
    </w:p>
    <w:p>
      <w:pPr>
        <w:pStyle w:val="ListBullet"/>
      </w:pPr>
      <w:r>
        <w:rPr>
          <w:b/>
        </w:rPr>
        <w:t xml:space="preserve">2. </w:t>
      </w:r>
      <w:r>
        <w:rPr>
          <w:b w:val="0"/>
          <w:i w:val="0"/>
        </w:rPr>
        <w:t>калланетика</w:t>
      </w:r>
    </w:p>
    <w:p>
      <w:pPr>
        <w:pStyle w:val="ListBullet"/>
      </w:pPr>
      <w:r>
        <w:rPr>
          <w:b/>
        </w:rPr>
        <w:t xml:space="preserve">3. </w:t>
      </w:r>
      <w:r>
        <w:rPr>
          <w:b w:val="0"/>
          <w:i w:val="0"/>
        </w:rPr>
        <w:t>гимнастика</w:t>
      </w:r>
    </w:p>
    <w:p>
      <w:pPr>
        <w:pStyle w:val="ListBullet"/>
      </w:pPr>
      <w:r>
        <w:rPr>
          <w:b/>
        </w:rPr>
        <w:t xml:space="preserve">4. </w:t>
      </w:r>
      <w:r>
        <w:rPr>
          <w:b w:val="0"/>
          <w:i w:val="0"/>
        </w:rPr>
        <w:t>массаж</w:t>
      </w:r>
    </w:p>
    <w:p>
      <w:pPr>
        <w:ind w:left="288"/>
      </w:pPr>
      <w:r>
        <w:rPr>
          <w:b/>
          <w:color w:val="0F766E"/>
          <w:highlight w:val="yellow"/>
        </w:rPr>
        <w:t xml:space="preserve">Правильный ответ: </w:t>
      </w:r>
      <w:r>
        <w:rPr>
          <w:b/>
          <w:i w:val="0"/>
        </w:rPr>
        <w:t>ЛФК</w:t>
      </w:r>
    </w:p>
    <w:p>
      <w:pPr>
        <w:ind w:left="504"/>
      </w:pPr>
      <w:r>
        <w:rPr>
          <w:b w:val="0"/>
          <w:i/>
        </w:rPr>
        <w:t>Несмотря на недостаточную доказательную базу и неоднородность дизайнов проведенных исследований, ЛФК является общепризнанным стандартом двигательной реабилитации пациентов после церебрального инсульта.</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8">
        <w:r>
          <w:rPr>
            <w:color w:val="0F766E"/>
            <w:u w:val="single"/>
          </w:rPr>
          <w:t>(1)</w:t>
        </w:r>
      </w:hyperlink>
    </w:p>
    <w:p>
      <w:pPr>
        <w:pStyle w:val="Heading2"/>
      </w:pPr>
      <w:r>
        <w:t>4. Вариатив</w:t>
      </w:r>
    </w:p>
    <w:p>
      <w:r>
        <w:rPr>
          <w:b/>
          <w:color w:val="0F766E"/>
        </w:rPr>
        <w:t>9. Вопрос</w:t>
      </w:r>
    </w:p>
    <w:p>
      <w:r>
        <w:rPr>
          <w:b w:val="0"/>
          <w:i w:val="0"/>
        </w:rPr>
        <w:t>Рекомендуется, проводить мероприятия по медицинской реабилитации пациентов специалистам мультидисциплинарной реабилитационной команды специалистов, с целью</w:t>
      </w:r>
    </w:p>
    <w:p>
      <w:pPr>
        <w:pStyle w:val="ListBullet"/>
      </w:pPr>
      <w:r>
        <w:rPr>
          <w:b/>
        </w:rPr>
        <w:t xml:space="preserve">1. </w:t>
      </w:r>
      <w:r>
        <w:rPr>
          <w:b w:val="0"/>
          <w:i w:val="0"/>
        </w:rPr>
        <w:t>восстановления чувствительности кожи</w:t>
      </w:r>
    </w:p>
    <w:p>
      <w:pPr>
        <w:pStyle w:val="ListBullet"/>
      </w:pPr>
      <w:r>
        <w:rPr>
          <w:b/>
        </w:rPr>
        <w:t xml:space="preserve">2. </w:t>
      </w:r>
      <w:r>
        <w:rPr>
          <w:b w:val="0"/>
          <w:i w:val="0"/>
        </w:rPr>
        <w:t>нормализации липидного обмена</w:t>
      </w:r>
    </w:p>
    <w:p>
      <w:pPr>
        <w:pStyle w:val="ListBullet"/>
      </w:pPr>
      <w:r>
        <w:rPr>
          <w:b/>
        </w:rPr>
        <w:t xml:space="preserve">3. </w:t>
      </w:r>
      <w:r>
        <w:rPr>
          <w:b/>
          <w:i w:val="0"/>
          <w:color w:val="0F766E"/>
          <w:highlight w:val="yellow"/>
        </w:rPr>
        <w:t>снижения смертности и зависимости от посторонней помощи пациентов с инсультом</w:t>
      </w:r>
    </w:p>
    <w:p>
      <w:pPr>
        <w:pStyle w:val="ListBullet"/>
      </w:pPr>
      <w:r>
        <w:rPr>
          <w:b/>
        </w:rPr>
        <w:t xml:space="preserve">4. </w:t>
      </w:r>
      <w:r>
        <w:rPr>
          <w:b w:val="0"/>
          <w:i w:val="0"/>
        </w:rPr>
        <w:t>стабилизации гемодинамики</w:t>
      </w:r>
    </w:p>
    <w:p>
      <w:pPr>
        <w:ind w:left="288"/>
      </w:pPr>
      <w:r>
        <w:rPr>
          <w:b/>
          <w:color w:val="0F766E"/>
          <w:highlight w:val="yellow"/>
        </w:rPr>
        <w:t xml:space="preserve">Правильный ответ: </w:t>
      </w:r>
      <w:r>
        <w:rPr>
          <w:b/>
          <w:i w:val="0"/>
        </w:rPr>
        <w:t>снижения смертности и зависимости от посторонней помощи пациентов с инсультом</w:t>
      </w:r>
    </w:p>
    <w:p>
      <w:pPr>
        <w:ind w:left="504"/>
      </w:pPr>
      <w:r>
        <w:rPr>
          <w:b w:val="0"/>
          <w:i/>
        </w:rPr>
        <w:t>Рекомендуется, проводить мероприятия по медицинской реабилитации пациентов специалистам мультидисциплинарной реабилитационной команды специалистов (МДРК), с целью снижения смертности и зависимости от посторонней помощи пациентов с инсультом</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19">
        <w:r>
          <w:rPr>
            <w:color w:val="0F766E"/>
            <w:u w:val="single"/>
          </w:rPr>
          <w:t>(1)</w:t>
        </w:r>
      </w:hyperlink>
    </w:p>
    <w:p>
      <w:r>
        <w:rPr>
          <w:b/>
          <w:color w:val="0F766E"/>
        </w:rPr>
        <w:t>10. Вопрос</w:t>
      </w:r>
    </w:p>
    <w:p>
      <w:r>
        <w:rPr>
          <w:b w:val="0"/>
          <w:i w:val="0"/>
        </w:rPr>
        <w:t>Модифицируемым фактором риска ишемического инсульта является</w:t>
      </w:r>
    </w:p>
    <w:p>
      <w:pPr>
        <w:pStyle w:val="ListBullet"/>
      </w:pPr>
      <w:r>
        <w:rPr>
          <w:b/>
        </w:rPr>
        <w:t xml:space="preserve">1. </w:t>
      </w:r>
      <w:r>
        <w:rPr>
          <w:b w:val="0"/>
          <w:i w:val="0"/>
        </w:rPr>
        <w:t>наследственность</w:t>
      </w:r>
    </w:p>
    <w:p>
      <w:pPr>
        <w:pStyle w:val="ListBullet"/>
      </w:pPr>
      <w:r>
        <w:rPr>
          <w:b/>
        </w:rPr>
        <w:t xml:space="preserve">2. </w:t>
      </w:r>
      <w:r>
        <w:rPr>
          <w:b/>
          <w:i w:val="0"/>
          <w:color w:val="0F766E"/>
          <w:highlight w:val="yellow"/>
        </w:rPr>
        <w:t>абдоминальное ожирение</w:t>
      </w:r>
    </w:p>
    <w:p>
      <w:pPr>
        <w:pStyle w:val="ListBullet"/>
      </w:pPr>
      <w:r>
        <w:rPr>
          <w:b/>
        </w:rPr>
        <w:t xml:space="preserve">3. </w:t>
      </w:r>
      <w:r>
        <w:rPr>
          <w:b w:val="0"/>
          <w:i w:val="0"/>
        </w:rPr>
        <w:t>пожилой возраст</w:t>
      </w:r>
    </w:p>
    <w:p>
      <w:pPr>
        <w:pStyle w:val="ListBullet"/>
      </w:pPr>
      <w:r>
        <w:rPr>
          <w:b/>
        </w:rPr>
        <w:t xml:space="preserve">4. </w:t>
      </w:r>
      <w:r>
        <w:rPr>
          <w:b w:val="0"/>
          <w:i w:val="0"/>
        </w:rPr>
        <w:t>мужской пол</w:t>
      </w:r>
    </w:p>
    <w:p>
      <w:pPr>
        <w:ind w:left="288"/>
      </w:pPr>
      <w:r>
        <w:rPr>
          <w:b/>
          <w:color w:val="0F766E"/>
          <w:highlight w:val="yellow"/>
        </w:rPr>
        <w:t xml:space="preserve">Правильный ответ: </w:t>
      </w:r>
      <w:r>
        <w:rPr>
          <w:b/>
          <w:i w:val="0"/>
        </w:rPr>
        <w:t>абдоминальное ожирение</w:t>
      </w:r>
    </w:p>
    <w:p>
      <w:pPr>
        <w:ind w:left="504"/>
      </w:pPr>
      <w:r>
        <w:rPr>
          <w:b w:val="0"/>
          <w:i/>
        </w:rPr>
        <w:t>Важнейшими модифицируемыми (корригируемыми) факторами риска, повышающими риск развития инсульта, считаются: АГ любого происхождения, заболевания сердца, фибрилляция предсердий, нарушения липидного обмена, СД, патология магистральных артерий головы, гемостатические нарушения. К основным немодифицируемым (некорригируемым) факторам риска относятся: пол, возраст, этническая принадлежность, наследственность. Выделяют также факторы риска, связанные с нарушением здорового образа жизни: табакокурение, избыточная масса тела, низкий уровень физической активности, неправильное питание (в частности, недостаточное потребление фруктов и овощей, злоупотребление алкогольными напитками), длительное психоэмоциональное напряжение или острый стресс.</w:t>
        <w:br/>
        <w:br/>
        <w:t>Общая врачебная практика. Т. 1 [Электронный ресурс] : национальное руководство / под ред. О. Ю. Кузнецовой, О. М. Лесняк, Е. В. Фроловой. - 2-е изд., перераб. и доп. - М. : ГЭОТАР-Медиа, 2020.</w:t>
        <w:br/>
        <w:br/>
      </w:r>
      <w:hyperlink r:id="rId20">
        <w:r>
          <w:rPr>
            <w:color w:val="0F766E"/>
            <w:u w:val="single"/>
          </w:rPr>
          <w:t>(1)</w:t>
        </w:r>
      </w:hyperlink>
    </w:p>
    <w:p>
      <w:r>
        <w:rPr>
          <w:b/>
          <w:color w:val="0F766E"/>
        </w:rPr>
        <w:t>11. Вопрос</w:t>
      </w:r>
    </w:p>
    <w:p>
      <w:r>
        <w:rPr>
          <w:b w:val="0"/>
          <w:i w:val="0"/>
        </w:rPr>
        <w:t>Мониторинг неврологического дефицита проводится с помощью шкалы</w:t>
      </w:r>
    </w:p>
    <w:p>
      <w:pPr>
        <w:pStyle w:val="ListBullet"/>
      </w:pPr>
      <w:r>
        <w:rPr>
          <w:b/>
        </w:rPr>
        <w:t xml:space="preserve">1. </w:t>
      </w:r>
      <w:r>
        <w:rPr>
          <w:b w:val="0"/>
          <w:i w:val="0"/>
        </w:rPr>
        <w:t>Ренкина</w:t>
      </w:r>
    </w:p>
    <w:p>
      <w:pPr>
        <w:pStyle w:val="ListBullet"/>
      </w:pPr>
      <w:r>
        <w:rPr>
          <w:b/>
        </w:rPr>
        <w:t xml:space="preserve">2. </w:t>
      </w:r>
      <w:r>
        <w:rPr>
          <w:b w:val="0"/>
          <w:i w:val="0"/>
        </w:rPr>
        <w:t>ажитации-седатации</w:t>
      </w:r>
    </w:p>
    <w:p>
      <w:pPr>
        <w:pStyle w:val="ListBullet"/>
      </w:pPr>
      <w:r>
        <w:rPr>
          <w:b/>
        </w:rPr>
        <w:t xml:space="preserve">3. </w:t>
      </w:r>
      <w:r>
        <w:rPr>
          <w:b/>
          <w:i w:val="0"/>
          <w:color w:val="0F766E"/>
          <w:highlight w:val="yellow"/>
        </w:rPr>
        <w:t>инсульта</w:t>
      </w:r>
    </w:p>
    <w:p>
      <w:pPr>
        <w:pStyle w:val="ListBullet"/>
      </w:pPr>
      <w:r>
        <w:rPr>
          <w:b/>
        </w:rPr>
        <w:t xml:space="preserve">4. </w:t>
      </w:r>
      <w:r>
        <w:rPr>
          <w:b w:val="0"/>
          <w:i w:val="0"/>
        </w:rPr>
        <w:t>Ашфорт</w:t>
      </w:r>
    </w:p>
    <w:p>
      <w:pPr>
        <w:ind w:left="288"/>
      </w:pPr>
      <w:r>
        <w:rPr>
          <w:b/>
          <w:color w:val="0F766E"/>
          <w:highlight w:val="yellow"/>
        </w:rPr>
        <w:t xml:space="preserve">Правильный ответ: </w:t>
      </w:r>
      <w:r>
        <w:rPr>
          <w:b/>
          <w:i w:val="0"/>
        </w:rPr>
        <w:t>инсульта</w:t>
      </w:r>
    </w:p>
    <w:p>
      <w:pPr>
        <w:ind w:left="504"/>
      </w:pPr>
      <w:r>
        <w:rPr>
          <w:b w:val="0"/>
          <w:i/>
        </w:rPr>
        <w:t>Общепринятой практикой является активный мониторинг неврологического статуса и таких жизненно важных показателей, как артериальное давление, пульс, уровень глюкозы и температура тела. Для оценки неврологического статуса могут быть использованы такие общепризнанные неврологические шкалы, как Шкала Инсульта NIH [109]. Исходя из рандомизированных клинических испытаний, не существует прямых указаний, с какой частотой должен выполняться мониторинг показателей. Однако в исследованиях, касающихся организации отделений для лечения острых нарушений мозгового кровообращения [108], практиковалось наблюдение и обследование как минимум каждые 4 часа в течение первых 72 часов от начала заболевания.</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1">
        <w:r>
          <w:rPr>
            <w:color w:val="0F766E"/>
            <w:u w:val="single"/>
          </w:rPr>
          <w:t>(1)</w:t>
        </w:r>
      </w:hyperlink>
    </w:p>
    <w:p>
      <w:r>
        <w:rPr>
          <w:b/>
          <w:color w:val="0F766E"/>
        </w:rPr>
        <w:t>12. Вопрос</w:t>
      </w:r>
    </w:p>
    <w:p>
      <w:r>
        <w:rPr>
          <w:b w:val="0"/>
          <w:i w:val="0"/>
        </w:rPr>
        <w:t>К факторам риска постинсультной эпилепсии относится</w:t>
      </w:r>
    </w:p>
    <w:p>
      <w:pPr>
        <w:pStyle w:val="ListBullet"/>
      </w:pPr>
      <w:r>
        <w:rPr>
          <w:b/>
        </w:rPr>
        <w:t xml:space="preserve">1. </w:t>
      </w:r>
      <w:r>
        <w:rPr>
          <w:b w:val="0"/>
          <w:i w:val="0"/>
        </w:rPr>
        <w:t>наследственность</w:t>
      </w:r>
    </w:p>
    <w:p>
      <w:pPr>
        <w:pStyle w:val="ListBullet"/>
      </w:pPr>
      <w:r>
        <w:rPr>
          <w:b/>
        </w:rPr>
        <w:t xml:space="preserve">2. </w:t>
      </w:r>
      <w:r>
        <w:rPr>
          <w:b w:val="0"/>
          <w:i w:val="0"/>
        </w:rPr>
        <w:t>ожирение</w:t>
      </w:r>
    </w:p>
    <w:p>
      <w:pPr>
        <w:pStyle w:val="ListBullet"/>
      </w:pPr>
      <w:r>
        <w:rPr>
          <w:b/>
        </w:rPr>
        <w:t xml:space="preserve">3. </w:t>
      </w:r>
      <w:r>
        <w:rPr>
          <w:b w:val="0"/>
          <w:i w:val="0"/>
        </w:rPr>
        <w:t>артериальная гипертензия</w:t>
      </w:r>
    </w:p>
    <w:p>
      <w:pPr>
        <w:pStyle w:val="ListBullet"/>
      </w:pPr>
      <w:r>
        <w:rPr>
          <w:b/>
        </w:rPr>
        <w:t xml:space="preserve">4. </w:t>
      </w:r>
      <w:r>
        <w:rPr>
          <w:b/>
          <w:i w:val="0"/>
          <w:color w:val="0F766E"/>
          <w:highlight w:val="yellow"/>
        </w:rPr>
        <w:t>возраст моложе 65 лет</w:t>
      </w:r>
    </w:p>
    <w:p>
      <w:pPr>
        <w:ind w:left="288"/>
      </w:pPr>
      <w:r>
        <w:rPr>
          <w:b/>
          <w:color w:val="0F766E"/>
          <w:highlight w:val="yellow"/>
        </w:rPr>
        <w:t xml:space="preserve">Правильный ответ: </w:t>
      </w:r>
      <w:r>
        <w:rPr>
          <w:b/>
          <w:i w:val="0"/>
        </w:rPr>
        <w:t>возраст моложе 65 лет</w:t>
      </w:r>
    </w:p>
    <w:p>
      <w:pPr>
        <w:ind w:left="504"/>
      </w:pPr>
      <w:r>
        <w:rPr>
          <w:b w:val="0"/>
          <w:i/>
        </w:rPr>
        <w:t>Тяжесть ИИ (более высокая сумма баллов по шкале NINSS, оценка по Скандинавской шкале инсульта менее 30 баллов, оценка 3 и более баллов по модифицированной шкале Рэнкин), супратенториальная локализация инфаркта мозга, очаг поражения в бассейне ПСМА и/или СМА, наличие геморрагического компонента инфаркта мозга, кардиоэмболический характер ИИ, возраст пациента менее 65 лет.</w:t>
        <w:br/>
        <w:br/>
      </w:r>
      <w:hyperlink r:id="rId9">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2">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171/" TargetMode="External"/><Relationship Id="rId10" Type="http://schemas.openxmlformats.org/officeDocument/2006/relationships/hyperlink" Target="https://library.mededtech.ru/rest/documents/KP171/#tab3" TargetMode="External"/><Relationship Id="rId11" Type="http://schemas.openxmlformats.org/officeDocument/2006/relationships/hyperlink" Target="https://library.mededtech.ru/rest/documents/KP171/#list_item_bu4ii3" TargetMode="External"/><Relationship Id="rId12" Type="http://schemas.openxmlformats.org/officeDocument/2006/relationships/image" Target="media/image1.jpg"/><Relationship Id="rId13" Type="http://schemas.openxmlformats.org/officeDocument/2006/relationships/hyperlink" Target="https://library.mededtech.ru/rest/documents/KP171/#paragraph_g67s1k" TargetMode="External"/><Relationship Id="rId14" Type="http://schemas.openxmlformats.org/officeDocument/2006/relationships/hyperlink" Target="https://library.mededtech.ru/rest/documents/KP171/#list_item_8e484u" TargetMode="External"/><Relationship Id="rId15" Type="http://schemas.openxmlformats.org/officeDocument/2006/relationships/hyperlink" Target="https://library.mededtech.ru/rest/documents/KP171/#tab2" TargetMode="External"/><Relationship Id="rId16" Type="http://schemas.openxmlformats.org/officeDocument/2006/relationships/hyperlink" Target="https://library.mededtech.ru/rest/documents/KP171/#paragraph_2s8t6m" TargetMode="External"/><Relationship Id="rId17" Type="http://schemas.openxmlformats.org/officeDocument/2006/relationships/hyperlink" Target="https://library.mededtech.ru/rest/documents/KP171/#list_item_pj68gt" TargetMode="External"/><Relationship Id="rId18" Type="http://schemas.openxmlformats.org/officeDocument/2006/relationships/hyperlink" Target="https://library.mededtech.ru/rest/documents/KP171/#list_item_h23vr1" TargetMode="External"/><Relationship Id="rId19" Type="http://schemas.openxmlformats.org/officeDocument/2006/relationships/hyperlink" Target="https://library.mededtech.ru/rest/documents/KP171/#list_item_oidr6v" TargetMode="External"/><Relationship Id="rId20" Type="http://schemas.openxmlformats.org/officeDocument/2006/relationships/hyperlink" Target="https://library.mededtech.ru/rest/documents/ISBN9785970455203/?anchor=paragraph_6iu7i3#paragraph_6iu7i3" TargetMode="External"/><Relationship Id="rId21" Type="http://schemas.openxmlformats.org/officeDocument/2006/relationships/hyperlink" Target="https://library.mededtech.ru/rest/documents/KP171/#paragraph_q982l2" TargetMode="External"/><Relationship Id="rId22" Type="http://schemas.openxmlformats.org/officeDocument/2006/relationships/hyperlink" Target="https://library.mededtech.ru/rest/documents/KP171/#paragraph_ghjli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